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2C" w:rsidRPr="00F7675B" w:rsidRDefault="00630401" w:rsidP="00533C3A">
      <w:pPr>
        <w:pStyle w:val="Default"/>
        <w:ind w:right="-270"/>
        <w:rPr>
          <w:rFonts w:ascii="Times New Roman" w:hAnsi="Times New Roman"/>
        </w:rPr>
      </w:pPr>
      <w:r>
        <w:rPr>
          <w:rFonts w:ascii="Times New Roman" w:hAnsi="Times New Roman"/>
        </w:rPr>
        <w:t>May 11, 2018</w:t>
      </w:r>
      <w:bookmarkStart w:id="0" w:name="_GoBack"/>
      <w:bookmarkEnd w:id="0"/>
    </w:p>
    <w:p w:rsidR="008E1C3F" w:rsidRPr="003C46E2" w:rsidRDefault="00027ACA" w:rsidP="006C7AF3">
      <w:pPr>
        <w:tabs>
          <w:tab w:val="left" w:pos="2200"/>
        </w:tabs>
        <w:ind w:left="-270"/>
        <w:jc w:val="center"/>
        <w:rPr>
          <w:rFonts w:ascii="Times New Roman" w:hAnsi="Times New Roman"/>
          <w:b/>
        </w:rPr>
        <w:sectPr w:rsidR="008E1C3F" w:rsidRPr="003C46E2" w:rsidSect="00BC09E4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267" w:left="1170" w:header="432" w:footer="475" w:gutter="0"/>
          <w:cols w:space="720"/>
          <w:titlePg/>
          <w:docGrid w:linePitch="326"/>
        </w:sectPr>
      </w:pPr>
      <w:r>
        <w:rPr>
          <w:rFonts w:ascii="Times New Roman" w:hAnsi="Times New Roman"/>
          <w:b/>
        </w:rPr>
        <w:t xml:space="preserve">         </w:t>
      </w:r>
      <w:r w:rsidR="00166F7C">
        <w:rPr>
          <w:rFonts w:ascii="Times New Roman" w:hAnsi="Times New Roman"/>
          <w:b/>
        </w:rPr>
        <w:t>FAMILY CHILD CARE</w:t>
      </w:r>
      <w:r w:rsidR="006C7AF3">
        <w:rPr>
          <w:rFonts w:ascii="Times New Roman" w:hAnsi="Times New Roman"/>
          <w:b/>
        </w:rPr>
        <w:t xml:space="preserve"> PROVIDER</w:t>
      </w:r>
    </w:p>
    <w:p w:rsidR="00B66D31" w:rsidRPr="00C356A1" w:rsidRDefault="00B66D31" w:rsidP="006C7AF3">
      <w:pPr>
        <w:pStyle w:val="BodyText2"/>
        <w:jc w:val="center"/>
        <w:rPr>
          <w:b/>
          <w:szCs w:val="24"/>
          <w:u w:val="single"/>
        </w:rPr>
      </w:pPr>
      <w:r w:rsidRPr="00C356A1">
        <w:rPr>
          <w:b/>
          <w:szCs w:val="24"/>
          <w:u w:val="single"/>
        </w:rPr>
        <w:t>FY</w:t>
      </w:r>
      <w:r w:rsidR="00166F7C">
        <w:rPr>
          <w:b/>
          <w:szCs w:val="24"/>
          <w:u w:val="single"/>
        </w:rPr>
        <w:t>2019</w:t>
      </w:r>
      <w:r w:rsidRPr="00C356A1">
        <w:rPr>
          <w:b/>
          <w:szCs w:val="24"/>
          <w:u w:val="single"/>
        </w:rPr>
        <w:t xml:space="preserve"> RATE </w:t>
      </w:r>
      <w:r w:rsidRPr="0043380D">
        <w:rPr>
          <w:b/>
          <w:szCs w:val="24"/>
          <w:u w:val="single"/>
        </w:rPr>
        <w:t xml:space="preserve">INCREASE </w:t>
      </w:r>
      <w:r w:rsidRPr="00C356A1">
        <w:rPr>
          <w:b/>
          <w:szCs w:val="24"/>
          <w:u w:val="single"/>
        </w:rPr>
        <w:t>CERTIFICATION</w:t>
      </w:r>
    </w:p>
    <w:p w:rsidR="00B66D31" w:rsidRPr="00C356A1" w:rsidRDefault="00B66D31" w:rsidP="00B66D31">
      <w:pPr>
        <w:pStyle w:val="BodyText2"/>
        <w:rPr>
          <w:szCs w:val="24"/>
        </w:rPr>
      </w:pPr>
    </w:p>
    <w:p w:rsidR="00344E81" w:rsidRDefault="00344E81" w:rsidP="00B66D31">
      <w:pPr>
        <w:pStyle w:val="BodyText2"/>
        <w:rPr>
          <w:szCs w:val="24"/>
        </w:rPr>
      </w:pPr>
    </w:p>
    <w:p w:rsidR="00B66D31" w:rsidRPr="003D419B" w:rsidRDefault="00B66D31" w:rsidP="00B66D31">
      <w:pPr>
        <w:pStyle w:val="BodyText2"/>
        <w:rPr>
          <w:szCs w:val="24"/>
        </w:rPr>
      </w:pPr>
      <w:r w:rsidRPr="003D419B">
        <w:rPr>
          <w:szCs w:val="24"/>
        </w:rPr>
        <w:t>In order to be eligi</w:t>
      </w:r>
      <w:r w:rsidR="002A73A8">
        <w:rPr>
          <w:szCs w:val="24"/>
        </w:rPr>
        <w:t>ble to accept the maximum FY2019</w:t>
      </w:r>
      <w:r w:rsidRPr="003D419B">
        <w:rPr>
          <w:szCs w:val="24"/>
        </w:rPr>
        <w:t xml:space="preserve"> rate increase</w:t>
      </w:r>
      <w:r w:rsidR="006C7AF3">
        <w:rPr>
          <w:szCs w:val="24"/>
        </w:rPr>
        <w:t xml:space="preserve"> </w:t>
      </w:r>
      <w:r w:rsidRPr="003D419B">
        <w:rPr>
          <w:szCs w:val="24"/>
        </w:rPr>
        <w:t xml:space="preserve">the Provider/Educator certifies to the Department of Early Education and Care ("EEC") that it will comply with the following requirements: </w:t>
      </w:r>
    </w:p>
    <w:p w:rsidR="00B66D31" w:rsidRPr="003D419B" w:rsidRDefault="00B66D31" w:rsidP="00B66D31">
      <w:pPr>
        <w:pStyle w:val="BodyText2"/>
        <w:rPr>
          <w:szCs w:val="24"/>
        </w:rPr>
      </w:pPr>
    </w:p>
    <w:p w:rsidR="00B66D31" w:rsidRPr="003D419B" w:rsidRDefault="00B66D31" w:rsidP="00B66D31">
      <w:pPr>
        <w:numPr>
          <w:ilvl w:val="0"/>
          <w:numId w:val="5"/>
        </w:numPr>
        <w:rPr>
          <w:rFonts w:ascii="Times New Roman" w:hAnsi="Times New Roman"/>
        </w:rPr>
      </w:pPr>
      <w:r w:rsidRPr="003D419B">
        <w:rPr>
          <w:rFonts w:ascii="Times New Roman" w:hAnsi="Times New Roman"/>
        </w:rPr>
        <w:t>The Provider/Educator currently provides subsidized child care services through EEC funded contracts or vouchers or holds an active agreement to service subsidized child care services through contracts or vouchers.</w:t>
      </w:r>
      <w:r w:rsidRPr="003D419B">
        <w:rPr>
          <w:rFonts w:ascii="Times New Roman" w:hAnsi="Times New Roman"/>
        </w:rPr>
        <w:br/>
      </w:r>
    </w:p>
    <w:p w:rsidR="00344E81" w:rsidRPr="003D419B" w:rsidRDefault="00B66D31" w:rsidP="00B66D31">
      <w:pPr>
        <w:numPr>
          <w:ilvl w:val="0"/>
          <w:numId w:val="5"/>
        </w:numPr>
        <w:rPr>
          <w:rFonts w:ascii="Times New Roman" w:hAnsi="Times New Roman"/>
        </w:rPr>
      </w:pPr>
      <w:r w:rsidRPr="003D419B">
        <w:rPr>
          <w:rFonts w:ascii="Times New Roman" w:hAnsi="Times New Roman"/>
        </w:rPr>
        <w:t>The Provider/Educator will maintain its rate(s)</w:t>
      </w:r>
      <w:r w:rsidR="0022548C" w:rsidRPr="003D419B">
        <w:rPr>
          <w:rFonts w:ascii="Times New Roman" w:hAnsi="Times New Roman"/>
        </w:rPr>
        <w:t xml:space="preserve"> </w:t>
      </w:r>
      <w:r w:rsidRPr="003D419B">
        <w:rPr>
          <w:rFonts w:ascii="Times New Roman" w:hAnsi="Times New Roman"/>
        </w:rPr>
        <w:t>charged to and collected from the general public so as to equal or exceed the rate(s) at which EEC will reimburse the Provider/Educator for the same service(s) under the FY20</w:t>
      </w:r>
      <w:r w:rsidR="00FB391E" w:rsidRPr="003D419B">
        <w:rPr>
          <w:rFonts w:ascii="Times New Roman" w:hAnsi="Times New Roman"/>
        </w:rPr>
        <w:t>1</w:t>
      </w:r>
      <w:r w:rsidR="002A73A8">
        <w:rPr>
          <w:rFonts w:ascii="Times New Roman" w:hAnsi="Times New Roman"/>
        </w:rPr>
        <w:t>9</w:t>
      </w:r>
      <w:r w:rsidR="006C7AF3">
        <w:rPr>
          <w:rFonts w:ascii="Times New Roman" w:hAnsi="Times New Roman"/>
        </w:rPr>
        <w:t xml:space="preserve"> </w:t>
      </w:r>
      <w:r w:rsidRPr="003D419B">
        <w:rPr>
          <w:rFonts w:ascii="Times New Roman" w:hAnsi="Times New Roman"/>
        </w:rPr>
        <w:t>rate increase provider agreement contract amendment(s).</w:t>
      </w:r>
      <w:r w:rsidRPr="003D419B">
        <w:rPr>
          <w:rStyle w:val="FootnoteReference"/>
          <w:rFonts w:ascii="Times New Roman" w:hAnsi="Times New Roman"/>
        </w:rPr>
        <w:footnoteReference w:id="1"/>
      </w:r>
    </w:p>
    <w:p w:rsidR="00344E81" w:rsidRPr="003D419B" w:rsidRDefault="00344E81" w:rsidP="00344E81">
      <w:pPr>
        <w:ind w:left="720"/>
        <w:rPr>
          <w:rFonts w:ascii="Times New Roman" w:hAnsi="Times New Roman"/>
        </w:rPr>
      </w:pPr>
    </w:p>
    <w:p w:rsidR="00B66D31" w:rsidRPr="003D419B" w:rsidRDefault="00B66D31" w:rsidP="00344E81">
      <w:pPr>
        <w:numPr>
          <w:ilvl w:val="0"/>
          <w:numId w:val="5"/>
        </w:numPr>
        <w:rPr>
          <w:rFonts w:ascii="Times New Roman" w:hAnsi="Times New Roman"/>
        </w:rPr>
      </w:pPr>
      <w:r w:rsidRPr="003D419B">
        <w:rPr>
          <w:rFonts w:ascii="Times New Roman" w:hAnsi="Times New Roman"/>
        </w:rPr>
        <w:t>In the event that any of the Provider/Educator’s rates charged to and collected from the general public</w:t>
      </w:r>
      <w:r w:rsidR="00616479" w:rsidRPr="003D419B">
        <w:rPr>
          <w:rFonts w:ascii="Times New Roman" w:hAnsi="Times New Roman"/>
        </w:rPr>
        <w:t xml:space="preserve"> </w:t>
      </w:r>
      <w:r w:rsidRPr="003D419B">
        <w:rPr>
          <w:rFonts w:ascii="Times New Roman" w:hAnsi="Times New Roman"/>
        </w:rPr>
        <w:t>(also known as its</w:t>
      </w:r>
      <w:r w:rsidR="001A13B1">
        <w:rPr>
          <w:rFonts w:ascii="Times New Roman" w:hAnsi="Times New Roman"/>
        </w:rPr>
        <w:t xml:space="preserve"> published </w:t>
      </w:r>
      <w:r w:rsidRPr="003D419B">
        <w:rPr>
          <w:rFonts w:ascii="Times New Roman" w:hAnsi="Times New Roman"/>
        </w:rPr>
        <w:t xml:space="preserve"> private rates) are below the rate(s) at which EEC will reimburse the Provider/Educator for the same service(s), the Provider/Educator will, no later </w:t>
      </w:r>
      <w:r w:rsidRPr="00036499">
        <w:rPr>
          <w:rFonts w:ascii="Times New Roman" w:hAnsi="Times New Roman"/>
        </w:rPr>
        <w:t>than</w:t>
      </w:r>
      <w:r w:rsidR="00B943A1" w:rsidRPr="00036499">
        <w:rPr>
          <w:rFonts w:ascii="Times New Roman" w:hAnsi="Times New Roman"/>
        </w:rPr>
        <w:t xml:space="preserve"> </w:t>
      </w:r>
      <w:r w:rsidR="002A73A8" w:rsidRPr="00036499">
        <w:rPr>
          <w:rFonts w:ascii="Times New Roman" w:hAnsi="Times New Roman"/>
        </w:rPr>
        <w:t>(July 1, 2018)</w:t>
      </w:r>
      <w:r w:rsidR="00B943A1" w:rsidRPr="00036499">
        <w:rPr>
          <w:rFonts w:ascii="Times New Roman" w:hAnsi="Times New Roman"/>
        </w:rPr>
        <w:t>,</w:t>
      </w:r>
      <w:r w:rsidRPr="00036499">
        <w:rPr>
          <w:rFonts w:ascii="Times New Roman" w:hAnsi="Times New Roman"/>
        </w:rPr>
        <w:t xml:space="preserve"> increase</w:t>
      </w:r>
      <w:r w:rsidRPr="00744B57">
        <w:rPr>
          <w:rFonts w:ascii="Times New Roman" w:hAnsi="Times New Roman"/>
        </w:rPr>
        <w:t xml:space="preserve"> its</w:t>
      </w:r>
      <w:r w:rsidRPr="003D419B">
        <w:rPr>
          <w:rFonts w:ascii="Times New Roman" w:hAnsi="Times New Roman"/>
        </w:rPr>
        <w:t xml:space="preserve"> rate(s) charged to the general public so as to equal or exceed the rate(s) at which EEC will reimburse the Provider/Educator for the same service(s) under the FY20</w:t>
      </w:r>
      <w:r w:rsidR="004E56B2" w:rsidRPr="003D419B">
        <w:rPr>
          <w:rFonts w:ascii="Times New Roman" w:hAnsi="Times New Roman"/>
        </w:rPr>
        <w:t>1</w:t>
      </w:r>
      <w:r w:rsidR="002A73A8">
        <w:rPr>
          <w:rFonts w:ascii="Times New Roman" w:hAnsi="Times New Roman"/>
        </w:rPr>
        <w:t>9</w:t>
      </w:r>
      <w:r w:rsidRPr="003D419B">
        <w:rPr>
          <w:rFonts w:ascii="Times New Roman" w:hAnsi="Times New Roman"/>
        </w:rPr>
        <w:t xml:space="preserve"> rate increase provider </w:t>
      </w:r>
      <w:proofErr w:type="gramStart"/>
      <w:r w:rsidRPr="003D419B">
        <w:rPr>
          <w:rFonts w:ascii="Times New Roman" w:hAnsi="Times New Roman"/>
        </w:rPr>
        <w:t>agreement</w:t>
      </w:r>
      <w:proofErr w:type="gramEnd"/>
      <w:r w:rsidRPr="003D419B">
        <w:rPr>
          <w:rFonts w:ascii="Times New Roman" w:hAnsi="Times New Roman"/>
        </w:rPr>
        <w:t xml:space="preserve"> contract amendment(s).</w:t>
      </w:r>
    </w:p>
    <w:p w:rsidR="00344E81" w:rsidRPr="003D419B" w:rsidRDefault="00344E81" w:rsidP="00344E81">
      <w:pPr>
        <w:pStyle w:val="ListParagraph"/>
        <w:rPr>
          <w:rFonts w:ascii="Times New Roman" w:hAnsi="Times New Roman"/>
        </w:rPr>
      </w:pPr>
    </w:p>
    <w:p w:rsidR="00344E81" w:rsidRPr="00B943A1" w:rsidRDefault="00344E81" w:rsidP="00344E81">
      <w:pPr>
        <w:numPr>
          <w:ilvl w:val="0"/>
          <w:numId w:val="5"/>
        </w:numPr>
        <w:rPr>
          <w:rFonts w:ascii="Times New Roman" w:hAnsi="Times New Roman"/>
        </w:rPr>
      </w:pPr>
      <w:r w:rsidRPr="003D419B">
        <w:rPr>
          <w:rFonts w:ascii="Times New Roman" w:hAnsi="Times New Roman"/>
        </w:rPr>
        <w:t xml:space="preserve">The Provider/Educator is certifying that this </w:t>
      </w:r>
      <w:r w:rsidR="006C7AF3">
        <w:rPr>
          <w:rFonts w:ascii="Times New Roman" w:hAnsi="Times New Roman"/>
        </w:rPr>
        <w:t>rate in</w:t>
      </w:r>
      <w:r w:rsidR="002A73A8">
        <w:rPr>
          <w:rFonts w:ascii="Times New Roman" w:hAnsi="Times New Roman"/>
        </w:rPr>
        <w:t>crease is effective July 1, 2018</w:t>
      </w:r>
      <w:r w:rsidRPr="00B943A1">
        <w:rPr>
          <w:rFonts w:ascii="Times New Roman" w:hAnsi="Times New Roman"/>
        </w:rPr>
        <w:t xml:space="preserve">.  The Published Private Rates in the Child Care Financial Assistance (CCFA) must be updated with an effective date of </w:t>
      </w:r>
      <w:r w:rsidR="006C7AF3">
        <w:rPr>
          <w:rFonts w:ascii="Times New Roman" w:hAnsi="Times New Roman"/>
        </w:rPr>
        <w:t>July</w:t>
      </w:r>
      <w:r w:rsidR="002A73A8">
        <w:rPr>
          <w:rFonts w:ascii="Times New Roman" w:hAnsi="Times New Roman"/>
        </w:rPr>
        <w:t xml:space="preserve"> 1, 2018</w:t>
      </w:r>
      <w:r w:rsidRPr="00B943A1">
        <w:rPr>
          <w:rFonts w:ascii="Times New Roman" w:hAnsi="Times New Roman"/>
        </w:rPr>
        <w:t>, to receive the rate increase.</w:t>
      </w:r>
    </w:p>
    <w:p w:rsidR="00344E81" w:rsidRPr="00B943A1" w:rsidRDefault="00344E81" w:rsidP="00344E81">
      <w:pPr>
        <w:pStyle w:val="BodyText2"/>
        <w:ind w:left="1440"/>
        <w:rPr>
          <w:color w:val="000000"/>
          <w:szCs w:val="24"/>
        </w:rPr>
      </w:pPr>
    </w:p>
    <w:p w:rsidR="00B66D31" w:rsidRPr="003D419B" w:rsidRDefault="00B66D31" w:rsidP="00B66D31">
      <w:pPr>
        <w:pStyle w:val="BodyText2"/>
        <w:numPr>
          <w:ilvl w:val="0"/>
          <w:numId w:val="5"/>
        </w:numPr>
        <w:rPr>
          <w:szCs w:val="24"/>
        </w:rPr>
      </w:pPr>
      <w:r w:rsidRPr="003D419B">
        <w:rPr>
          <w:szCs w:val="24"/>
        </w:rPr>
        <w:t>The Provider/Educator must use the funds received through the FY201</w:t>
      </w:r>
      <w:r w:rsidR="002A73A8">
        <w:rPr>
          <w:szCs w:val="24"/>
        </w:rPr>
        <w:t>9</w:t>
      </w:r>
      <w:r w:rsidR="00641E50">
        <w:t xml:space="preserve"> </w:t>
      </w:r>
      <w:r w:rsidRPr="003D419B">
        <w:rPr>
          <w:szCs w:val="24"/>
        </w:rPr>
        <w:t>rate increase to increase salaries</w:t>
      </w:r>
      <w:r w:rsidRPr="003D419B">
        <w:rPr>
          <w:rStyle w:val="FootnoteReference"/>
          <w:szCs w:val="24"/>
        </w:rPr>
        <w:footnoteReference w:id="2"/>
      </w:r>
      <w:r w:rsidRPr="003D419B">
        <w:rPr>
          <w:b/>
          <w:szCs w:val="24"/>
        </w:rPr>
        <w:t xml:space="preserve">, </w:t>
      </w:r>
      <w:r w:rsidRPr="003D419B">
        <w:rPr>
          <w:szCs w:val="24"/>
        </w:rPr>
        <w:t>benefits</w:t>
      </w:r>
      <w:r w:rsidR="00853B62">
        <w:rPr>
          <w:szCs w:val="24"/>
        </w:rPr>
        <w:t xml:space="preserve"> and stipends for professional development of early educators.</w:t>
      </w:r>
    </w:p>
    <w:p w:rsidR="00B66D31" w:rsidRPr="003D419B" w:rsidRDefault="00B66D31" w:rsidP="00B66D31">
      <w:pPr>
        <w:pStyle w:val="BodyText2"/>
        <w:rPr>
          <w:szCs w:val="24"/>
        </w:rPr>
      </w:pPr>
    </w:p>
    <w:p w:rsidR="00B66D31" w:rsidRPr="003D419B" w:rsidRDefault="00B66D31" w:rsidP="00B66D31">
      <w:pPr>
        <w:pStyle w:val="BodyText2"/>
        <w:numPr>
          <w:ilvl w:val="0"/>
          <w:numId w:val="5"/>
        </w:numPr>
        <w:rPr>
          <w:szCs w:val="24"/>
        </w:rPr>
      </w:pPr>
      <w:r w:rsidRPr="003D419B">
        <w:rPr>
          <w:color w:val="000000"/>
          <w:szCs w:val="24"/>
        </w:rPr>
        <w:lastRenderedPageBreak/>
        <w:t>The Provider/Educator will maintain documentation to support that funds received through the FY20</w:t>
      </w:r>
      <w:r w:rsidR="002A73A8">
        <w:rPr>
          <w:color w:val="000000"/>
          <w:szCs w:val="24"/>
        </w:rPr>
        <w:t>19</w:t>
      </w:r>
      <w:r w:rsidRPr="003D419B">
        <w:rPr>
          <w:color w:val="000000"/>
          <w:szCs w:val="24"/>
        </w:rPr>
        <w:t xml:space="preserve"> rate increase have been distributed in accordance with the requirements outlined in this certification form and in accordance with its own fair and equitable professional development plan.  </w:t>
      </w:r>
      <w:r w:rsidRPr="003D419B">
        <w:rPr>
          <w:szCs w:val="24"/>
        </w:rPr>
        <w:t xml:space="preserve">This documentation must detail: </w:t>
      </w:r>
    </w:p>
    <w:p w:rsidR="00B66D31" w:rsidRDefault="00B66D31" w:rsidP="00B66D31">
      <w:pPr>
        <w:pStyle w:val="BodyText2"/>
        <w:ind w:left="720"/>
        <w:rPr>
          <w:szCs w:val="24"/>
        </w:rPr>
      </w:pPr>
    </w:p>
    <w:p w:rsidR="00B66D31" w:rsidRDefault="00B66D31" w:rsidP="00B66D31">
      <w:pPr>
        <w:pStyle w:val="BodyText2"/>
        <w:numPr>
          <w:ilvl w:val="1"/>
          <w:numId w:val="5"/>
        </w:numPr>
        <w:rPr>
          <w:szCs w:val="24"/>
        </w:rPr>
      </w:pPr>
      <w:proofErr w:type="gramStart"/>
      <w:r w:rsidRPr="00AF4952">
        <w:rPr>
          <w:szCs w:val="24"/>
        </w:rPr>
        <w:t>the</w:t>
      </w:r>
      <w:proofErr w:type="gramEnd"/>
      <w:r w:rsidRPr="00AF4952">
        <w:rPr>
          <w:szCs w:val="24"/>
        </w:rPr>
        <w:t xml:space="preserve"> amount each staff person received</w:t>
      </w:r>
      <w:r>
        <w:rPr>
          <w:szCs w:val="24"/>
        </w:rPr>
        <w:t xml:space="preserve"> in salary, benefit or stipend</w:t>
      </w:r>
      <w:r w:rsidR="002521A6">
        <w:rPr>
          <w:szCs w:val="24"/>
        </w:rPr>
        <w:t>.</w:t>
      </w:r>
      <w:r>
        <w:rPr>
          <w:szCs w:val="24"/>
        </w:rPr>
        <w:t xml:space="preserve"> </w:t>
      </w:r>
      <w:r w:rsidRPr="00AF4952">
        <w:rPr>
          <w:szCs w:val="24"/>
        </w:rPr>
        <w:t xml:space="preserve"> </w:t>
      </w:r>
    </w:p>
    <w:p w:rsidR="00B66D31" w:rsidRDefault="00B66D31" w:rsidP="00B66D31">
      <w:pPr>
        <w:pStyle w:val="BodyText2"/>
        <w:numPr>
          <w:ilvl w:val="1"/>
          <w:numId w:val="5"/>
        </w:numPr>
        <w:rPr>
          <w:szCs w:val="24"/>
        </w:rPr>
      </w:pPr>
      <w:proofErr w:type="gramStart"/>
      <w:r w:rsidRPr="00AF4952">
        <w:rPr>
          <w:szCs w:val="24"/>
        </w:rPr>
        <w:t>the</w:t>
      </w:r>
      <w:proofErr w:type="gramEnd"/>
      <w:r w:rsidRPr="00AF4952">
        <w:rPr>
          <w:szCs w:val="24"/>
        </w:rPr>
        <w:t xml:space="preserve"> effective date of any salary</w:t>
      </w:r>
      <w:r>
        <w:rPr>
          <w:szCs w:val="24"/>
        </w:rPr>
        <w:t>,</w:t>
      </w:r>
      <w:r w:rsidRPr="00AF4952">
        <w:rPr>
          <w:szCs w:val="24"/>
        </w:rPr>
        <w:t xml:space="preserve"> benefit</w:t>
      </w:r>
      <w:r w:rsidR="002521A6">
        <w:rPr>
          <w:szCs w:val="24"/>
        </w:rPr>
        <w:t xml:space="preserve"> or</w:t>
      </w:r>
      <w:r>
        <w:rPr>
          <w:szCs w:val="24"/>
        </w:rPr>
        <w:t xml:space="preserve"> stipend</w:t>
      </w:r>
      <w:r w:rsidR="002521A6">
        <w:rPr>
          <w:szCs w:val="24"/>
        </w:rPr>
        <w:t>.</w:t>
      </w:r>
      <w:r w:rsidRPr="00AF4952">
        <w:rPr>
          <w:szCs w:val="24"/>
        </w:rPr>
        <w:t xml:space="preserve"> increase</w:t>
      </w:r>
      <w:r>
        <w:rPr>
          <w:szCs w:val="24"/>
        </w:rPr>
        <w:t>;</w:t>
      </w:r>
      <w:r w:rsidRPr="00AF4952">
        <w:rPr>
          <w:szCs w:val="24"/>
        </w:rPr>
        <w:t xml:space="preserve"> </w:t>
      </w:r>
    </w:p>
    <w:p w:rsidR="00B66D31" w:rsidRDefault="00B66D31" w:rsidP="00B66D31">
      <w:pPr>
        <w:pStyle w:val="BodyText2"/>
        <w:numPr>
          <w:ilvl w:val="1"/>
          <w:numId w:val="5"/>
        </w:numPr>
        <w:rPr>
          <w:szCs w:val="24"/>
        </w:rPr>
      </w:pPr>
      <w:r w:rsidRPr="00AF4952">
        <w:rPr>
          <w:szCs w:val="24"/>
        </w:rPr>
        <w:t>the reason for the amount given</w:t>
      </w:r>
      <w:r>
        <w:rPr>
          <w:szCs w:val="24"/>
        </w:rPr>
        <w:t>;</w:t>
      </w:r>
      <w:r w:rsidRPr="00AF4952">
        <w:rPr>
          <w:szCs w:val="24"/>
        </w:rPr>
        <w:t xml:space="preserve"> and </w:t>
      </w:r>
    </w:p>
    <w:p w:rsidR="00B66D31" w:rsidRDefault="00B66D31" w:rsidP="00B66D31">
      <w:pPr>
        <w:pStyle w:val="BodyText2"/>
        <w:numPr>
          <w:ilvl w:val="1"/>
          <w:numId w:val="5"/>
        </w:numPr>
        <w:rPr>
          <w:szCs w:val="24"/>
        </w:rPr>
      </w:pPr>
      <w:proofErr w:type="gramStart"/>
      <w:r w:rsidRPr="00AF4952">
        <w:rPr>
          <w:szCs w:val="24"/>
        </w:rPr>
        <w:t>the</w:t>
      </w:r>
      <w:proofErr w:type="gramEnd"/>
      <w:r w:rsidRPr="00AF4952">
        <w:rPr>
          <w:szCs w:val="24"/>
        </w:rPr>
        <w:t xml:space="preserve"> date the increase</w:t>
      </w:r>
      <w:r>
        <w:rPr>
          <w:szCs w:val="24"/>
        </w:rPr>
        <w:t>, benefit</w:t>
      </w:r>
      <w:r w:rsidR="002521A6">
        <w:rPr>
          <w:szCs w:val="24"/>
        </w:rPr>
        <w:t xml:space="preserve"> or</w:t>
      </w:r>
      <w:r>
        <w:rPr>
          <w:szCs w:val="24"/>
        </w:rPr>
        <w:t xml:space="preserve"> stipend</w:t>
      </w:r>
      <w:r w:rsidR="00E50D98">
        <w:rPr>
          <w:szCs w:val="24"/>
        </w:rPr>
        <w:t xml:space="preserve"> </w:t>
      </w:r>
      <w:r w:rsidR="00B41090" w:rsidRPr="00AF4952">
        <w:rPr>
          <w:szCs w:val="24"/>
        </w:rPr>
        <w:t>was</w:t>
      </w:r>
      <w:r w:rsidRPr="00AF4952">
        <w:rPr>
          <w:szCs w:val="24"/>
        </w:rPr>
        <w:t xml:space="preserve"> </w:t>
      </w:r>
      <w:r>
        <w:rPr>
          <w:szCs w:val="24"/>
        </w:rPr>
        <w:t>made.</w:t>
      </w:r>
      <w:r w:rsidRPr="00021668">
        <w:rPr>
          <w:szCs w:val="24"/>
        </w:rPr>
        <w:t xml:space="preserve"> </w:t>
      </w:r>
    </w:p>
    <w:p w:rsidR="00B66D31" w:rsidRDefault="00B66D31" w:rsidP="00B66D31">
      <w:pPr>
        <w:pStyle w:val="BodyText2"/>
        <w:ind w:left="720"/>
        <w:rPr>
          <w:szCs w:val="24"/>
        </w:rPr>
      </w:pPr>
    </w:p>
    <w:p w:rsidR="00B66D31" w:rsidRDefault="00B66D31" w:rsidP="00B66D31">
      <w:pPr>
        <w:pStyle w:val="BodyText2"/>
        <w:rPr>
          <w:szCs w:val="24"/>
        </w:rPr>
      </w:pPr>
      <w:r>
        <w:rPr>
          <w:szCs w:val="24"/>
        </w:rPr>
        <w:t>Furthermore, the Provider/Educator acknowledges the following:</w:t>
      </w:r>
    </w:p>
    <w:p w:rsidR="00B66D31" w:rsidRPr="00C356A1" w:rsidRDefault="00B66D31" w:rsidP="00B66D31">
      <w:pPr>
        <w:pStyle w:val="BodyText2"/>
        <w:ind w:left="720"/>
        <w:rPr>
          <w:color w:val="000000"/>
          <w:szCs w:val="24"/>
        </w:rPr>
      </w:pPr>
      <w:r w:rsidRPr="00C356A1">
        <w:rPr>
          <w:szCs w:val="24"/>
        </w:rPr>
        <w:t xml:space="preserve">  </w:t>
      </w:r>
    </w:p>
    <w:p w:rsidR="00B66D31" w:rsidRPr="003D419B" w:rsidRDefault="00B66D31" w:rsidP="00B66D31">
      <w:pPr>
        <w:pStyle w:val="BodyText2"/>
        <w:numPr>
          <w:ilvl w:val="0"/>
          <w:numId w:val="6"/>
        </w:numPr>
        <w:rPr>
          <w:color w:val="000000"/>
          <w:szCs w:val="24"/>
        </w:rPr>
      </w:pPr>
      <w:r w:rsidRPr="00021668">
        <w:rPr>
          <w:color w:val="000000"/>
          <w:szCs w:val="24"/>
        </w:rPr>
        <w:t xml:space="preserve">In addition to all other rights granted to the Commonwealth under law and the Terms and Conditions for Human and Social Services Contracts, EEC Contract and </w:t>
      </w:r>
      <w:r w:rsidRPr="003D419B">
        <w:rPr>
          <w:color w:val="000000"/>
          <w:szCs w:val="24"/>
        </w:rPr>
        <w:t xml:space="preserve">Monitoring Staff may request information and conduct file reviews to determine compliance with all requirements outlined in this certification form.  </w:t>
      </w:r>
    </w:p>
    <w:p w:rsidR="00B66D31" w:rsidRPr="003D419B" w:rsidRDefault="00B66D31" w:rsidP="00B66D31">
      <w:pPr>
        <w:pStyle w:val="BodyText2"/>
        <w:ind w:left="720"/>
        <w:rPr>
          <w:szCs w:val="24"/>
        </w:rPr>
      </w:pPr>
    </w:p>
    <w:p w:rsidR="00B66D31" w:rsidRPr="003D419B" w:rsidRDefault="00B66D31" w:rsidP="00B66D31">
      <w:pPr>
        <w:pStyle w:val="BodyText2"/>
        <w:numPr>
          <w:ilvl w:val="0"/>
          <w:numId w:val="6"/>
        </w:numPr>
        <w:rPr>
          <w:color w:val="000000"/>
          <w:szCs w:val="24"/>
        </w:rPr>
      </w:pPr>
      <w:r w:rsidRPr="003D419B">
        <w:rPr>
          <w:color w:val="000000"/>
          <w:szCs w:val="24"/>
        </w:rPr>
        <w:t>Should the Provider/Educator fail to expend the funds received through the FY20</w:t>
      </w:r>
      <w:r w:rsidR="002A73A8">
        <w:rPr>
          <w:color w:val="000000"/>
          <w:szCs w:val="24"/>
        </w:rPr>
        <w:t>19</w:t>
      </w:r>
      <w:r w:rsidRPr="003D419B">
        <w:rPr>
          <w:color w:val="000000"/>
          <w:szCs w:val="24"/>
        </w:rPr>
        <w:t xml:space="preserve"> rate increase in accordance with these requirements, the funds are subject to recoupment by EEC, and the rate increase may be suspended/and or withdrawn.</w:t>
      </w:r>
    </w:p>
    <w:p w:rsidR="00B66D31" w:rsidRPr="003D419B" w:rsidRDefault="00B66D31" w:rsidP="00B66D31">
      <w:pPr>
        <w:pStyle w:val="BodyText2"/>
        <w:ind w:left="720"/>
        <w:rPr>
          <w:color w:val="000000"/>
          <w:szCs w:val="24"/>
        </w:rPr>
      </w:pPr>
    </w:p>
    <w:p w:rsidR="00B66D31" w:rsidRPr="003D419B" w:rsidRDefault="00B66D31" w:rsidP="00B66D31">
      <w:pPr>
        <w:pStyle w:val="BodyText2"/>
        <w:numPr>
          <w:ilvl w:val="0"/>
          <w:numId w:val="6"/>
        </w:numPr>
        <w:rPr>
          <w:color w:val="000000"/>
          <w:szCs w:val="24"/>
        </w:rPr>
      </w:pPr>
      <w:r w:rsidRPr="003D419B">
        <w:rPr>
          <w:color w:val="000000"/>
          <w:szCs w:val="24"/>
        </w:rPr>
        <w:t>The Provider/Educator will disburse all funding received through the FY201</w:t>
      </w:r>
      <w:r w:rsidR="002A73A8">
        <w:rPr>
          <w:color w:val="000000"/>
          <w:szCs w:val="24"/>
        </w:rPr>
        <w:t>9</w:t>
      </w:r>
      <w:r w:rsidR="00641E50">
        <w:t xml:space="preserve"> </w:t>
      </w:r>
      <w:r w:rsidR="002A73A8">
        <w:rPr>
          <w:color w:val="000000"/>
          <w:szCs w:val="24"/>
        </w:rPr>
        <w:t>rate increase by June 30, 2019</w:t>
      </w:r>
      <w:r w:rsidRPr="003D419B">
        <w:rPr>
          <w:color w:val="000000"/>
          <w:szCs w:val="24"/>
        </w:rPr>
        <w:t>.</w:t>
      </w:r>
    </w:p>
    <w:p w:rsidR="00DD4E5C" w:rsidRDefault="00DD4E5C" w:rsidP="00DD4E5C">
      <w:pPr>
        <w:pStyle w:val="ListParagraph"/>
        <w:rPr>
          <w:color w:val="000000"/>
        </w:rPr>
      </w:pPr>
    </w:p>
    <w:p w:rsidR="00DD4E5C" w:rsidRDefault="001A681E" w:rsidP="00DD4E5C">
      <w:pPr>
        <w:pStyle w:val="BodyText2"/>
        <w:rPr>
          <w:color w:val="000000"/>
          <w:szCs w:val="24"/>
        </w:rPr>
      </w:pPr>
      <w:r>
        <w:rPr>
          <w:color w:val="000000"/>
          <w:szCs w:val="24"/>
        </w:rPr>
        <w:t xml:space="preserve">EEC is collecting </w:t>
      </w:r>
      <w:r w:rsidR="001A13B1">
        <w:rPr>
          <w:color w:val="000000"/>
          <w:szCs w:val="24"/>
        </w:rPr>
        <w:t xml:space="preserve">your published </w:t>
      </w:r>
      <w:r w:rsidR="00120374">
        <w:rPr>
          <w:color w:val="000000"/>
          <w:szCs w:val="24"/>
        </w:rPr>
        <w:t xml:space="preserve">private rates </w:t>
      </w:r>
      <w:r>
        <w:rPr>
          <w:color w:val="000000"/>
          <w:szCs w:val="24"/>
        </w:rPr>
        <w:t>on the chart below.  Please complete as applicable</w:t>
      </w:r>
      <w:r w:rsidR="00F00CCB">
        <w:rPr>
          <w:color w:val="000000"/>
          <w:szCs w:val="24"/>
        </w:rPr>
        <w:t xml:space="preserve"> to your program</w:t>
      </w:r>
      <w:r>
        <w:rPr>
          <w:color w:val="000000"/>
          <w:szCs w:val="24"/>
        </w:rPr>
        <w:t>:</w:t>
      </w:r>
    </w:p>
    <w:p w:rsidR="00252EE3" w:rsidRDefault="00252EE3" w:rsidP="00DD4E5C">
      <w:pPr>
        <w:pStyle w:val="BodyText2"/>
        <w:rPr>
          <w:color w:val="000000"/>
          <w:szCs w:val="24"/>
        </w:rPr>
      </w:pPr>
    </w:p>
    <w:p w:rsidR="00F153B8" w:rsidRDefault="00F153B8" w:rsidP="00DD4E5C">
      <w:pPr>
        <w:pStyle w:val="BodyText2"/>
        <w:rPr>
          <w:color w:val="000000"/>
          <w:szCs w:val="24"/>
        </w:rPr>
      </w:pPr>
    </w:p>
    <w:p w:rsidR="00F153B8" w:rsidRDefault="00F153B8" w:rsidP="00DD4E5C">
      <w:pPr>
        <w:pStyle w:val="BodyText2"/>
        <w:rPr>
          <w:color w:val="000000"/>
          <w:szCs w:val="24"/>
        </w:rPr>
      </w:pPr>
    </w:p>
    <w:p w:rsidR="00F153B8" w:rsidRDefault="00F153B8" w:rsidP="00DD4E5C">
      <w:pPr>
        <w:pStyle w:val="BodyText2"/>
        <w:rPr>
          <w:color w:val="000000"/>
          <w:szCs w:val="24"/>
        </w:rPr>
      </w:pPr>
    </w:p>
    <w:p w:rsidR="00F153B8" w:rsidRDefault="00F153B8" w:rsidP="00DD4E5C">
      <w:pPr>
        <w:pStyle w:val="BodyText2"/>
        <w:rPr>
          <w:color w:val="000000"/>
          <w:szCs w:val="24"/>
        </w:rPr>
      </w:pPr>
    </w:p>
    <w:p w:rsidR="00F153B8" w:rsidRDefault="00F153B8" w:rsidP="00DD4E5C">
      <w:pPr>
        <w:pStyle w:val="BodyText2"/>
        <w:rPr>
          <w:color w:val="000000"/>
          <w:szCs w:val="24"/>
        </w:rPr>
      </w:pPr>
    </w:p>
    <w:p w:rsidR="00F153B8" w:rsidRDefault="00F153B8" w:rsidP="00DD4E5C">
      <w:pPr>
        <w:pStyle w:val="BodyText2"/>
        <w:rPr>
          <w:color w:val="000000"/>
          <w:szCs w:val="24"/>
        </w:rPr>
      </w:pPr>
    </w:p>
    <w:p w:rsidR="00F153B8" w:rsidRDefault="00F153B8" w:rsidP="00DD4E5C">
      <w:pPr>
        <w:pStyle w:val="BodyText2"/>
        <w:rPr>
          <w:color w:val="000000"/>
          <w:szCs w:val="24"/>
        </w:rPr>
      </w:pPr>
    </w:p>
    <w:p w:rsidR="00F153B8" w:rsidRDefault="00F153B8" w:rsidP="00DD4E5C">
      <w:pPr>
        <w:pStyle w:val="BodyText2"/>
        <w:rPr>
          <w:color w:val="000000"/>
          <w:szCs w:val="24"/>
        </w:rPr>
      </w:pPr>
    </w:p>
    <w:p w:rsidR="00F153B8" w:rsidRDefault="00F153B8" w:rsidP="00DD4E5C">
      <w:pPr>
        <w:pStyle w:val="BodyText2"/>
        <w:rPr>
          <w:color w:val="000000"/>
          <w:szCs w:val="24"/>
        </w:rPr>
      </w:pPr>
    </w:p>
    <w:p w:rsidR="00F153B8" w:rsidRDefault="00F153B8" w:rsidP="00DD4E5C">
      <w:pPr>
        <w:pStyle w:val="BodyText2"/>
        <w:rPr>
          <w:color w:val="000000"/>
          <w:szCs w:val="24"/>
        </w:rPr>
      </w:pPr>
    </w:p>
    <w:p w:rsidR="00F153B8" w:rsidRDefault="00F153B8" w:rsidP="00DD4E5C">
      <w:pPr>
        <w:pStyle w:val="BodyText2"/>
        <w:rPr>
          <w:color w:val="000000"/>
          <w:szCs w:val="24"/>
        </w:rPr>
      </w:pPr>
    </w:p>
    <w:p w:rsidR="00F153B8" w:rsidRDefault="00F153B8" w:rsidP="00DD4E5C">
      <w:pPr>
        <w:pStyle w:val="BodyText2"/>
        <w:rPr>
          <w:color w:val="000000"/>
          <w:szCs w:val="24"/>
        </w:rPr>
      </w:pPr>
    </w:p>
    <w:p w:rsidR="00F153B8" w:rsidRDefault="00F153B8" w:rsidP="00DD4E5C">
      <w:pPr>
        <w:pStyle w:val="BodyText2"/>
        <w:rPr>
          <w:color w:val="000000"/>
          <w:szCs w:val="24"/>
        </w:rPr>
      </w:pPr>
    </w:p>
    <w:p w:rsidR="00F153B8" w:rsidRDefault="00F153B8" w:rsidP="00DD4E5C">
      <w:pPr>
        <w:pStyle w:val="BodyText2"/>
        <w:rPr>
          <w:color w:val="000000"/>
          <w:szCs w:val="24"/>
        </w:rPr>
      </w:pPr>
    </w:p>
    <w:p w:rsidR="00F153B8" w:rsidRDefault="00F153B8" w:rsidP="00DD4E5C">
      <w:pPr>
        <w:pStyle w:val="BodyText2"/>
        <w:rPr>
          <w:color w:val="000000"/>
          <w:szCs w:val="24"/>
        </w:rPr>
      </w:pPr>
    </w:p>
    <w:p w:rsidR="00F153B8" w:rsidRDefault="00F153B8" w:rsidP="00DD4E5C">
      <w:pPr>
        <w:pStyle w:val="BodyText2"/>
        <w:rPr>
          <w:color w:val="000000"/>
          <w:szCs w:val="24"/>
        </w:rPr>
      </w:pPr>
    </w:p>
    <w:p w:rsidR="00F153B8" w:rsidRDefault="00F153B8" w:rsidP="00DD4E5C">
      <w:pPr>
        <w:pStyle w:val="BodyText2"/>
        <w:rPr>
          <w:color w:val="000000"/>
          <w:szCs w:val="24"/>
        </w:rPr>
      </w:pPr>
    </w:p>
    <w:p w:rsidR="00F16AE9" w:rsidRDefault="00F16AE9" w:rsidP="00DD4E5C">
      <w:pPr>
        <w:pStyle w:val="BodyText2"/>
        <w:rPr>
          <w:color w:val="000000"/>
          <w:szCs w:val="24"/>
        </w:rPr>
      </w:pPr>
    </w:p>
    <w:p w:rsidR="00F16AE9" w:rsidRDefault="00F16AE9" w:rsidP="00DD4E5C">
      <w:pPr>
        <w:pStyle w:val="BodyText2"/>
        <w:rPr>
          <w:color w:val="000000"/>
          <w:szCs w:val="24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5420"/>
        <w:gridCol w:w="3740"/>
      </w:tblGrid>
      <w:tr w:rsidR="00744B57" w:rsidRPr="00F16560" w:rsidTr="004F743F">
        <w:trPr>
          <w:trHeight w:val="300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44B57" w:rsidRPr="00F16560" w:rsidRDefault="00744B57" w:rsidP="00DE59A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16560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</w:t>
            </w:r>
            <w:r w:rsidRPr="00F16560">
              <w:rPr>
                <w:rFonts w:ascii="Calibri" w:hAnsi="Calibri" w:cs="Calibri"/>
                <w:b/>
                <w:bCs/>
                <w:color w:val="000000"/>
              </w:rPr>
              <w:t xml:space="preserve"> Provide Region and Effective Date</w:t>
            </w:r>
          </w:p>
          <w:p w:rsidR="00744B57" w:rsidRPr="00F16560" w:rsidRDefault="00744B57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53B8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53B8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16560">
              <w:rPr>
                <w:rFonts w:ascii="Calibri" w:hAnsi="Calibri" w:cs="Calibri"/>
                <w:b/>
                <w:bCs/>
                <w:color w:val="000000"/>
              </w:rPr>
              <w:t>Region: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16560">
              <w:rPr>
                <w:rFonts w:ascii="Calibri" w:hAnsi="Calibri" w:cs="Calibri"/>
                <w:b/>
                <w:bCs/>
                <w:color w:val="000000"/>
              </w:rPr>
              <w:t>Effective Date:</w:t>
            </w:r>
          </w:p>
        </w:tc>
      </w:tr>
      <w:tr w:rsidR="00F153B8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E50D98">
              <w:rPr>
                <w:rFonts w:ascii="Calibri" w:hAnsi="Calibri" w:cs="Calibri"/>
                <w:b/>
                <w:color w:val="000000"/>
                <w:u w:val="single"/>
              </w:rPr>
              <w:t>Provide Private Pay Rate</w:t>
            </w:r>
            <w:r w:rsidR="00073079">
              <w:rPr>
                <w:rFonts w:ascii="Calibri" w:hAnsi="Calibri" w:cs="Calibri"/>
                <w:color w:val="000000"/>
              </w:rPr>
              <w:t xml:space="preserve"> (lowest rate after all discounts, scholarships, etc.)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53B8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16560">
              <w:rPr>
                <w:rFonts w:ascii="Calibri" w:hAnsi="Calibri" w:cs="Calibri"/>
                <w:b/>
                <w:bCs/>
                <w:color w:val="000000"/>
              </w:rPr>
              <w:t xml:space="preserve">Center Based Program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1656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F153B8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Infant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53B8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Toddler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53B8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Preschool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53B8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Before School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53B8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Before and After School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61A5C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A5C" w:rsidRPr="00F16560" w:rsidRDefault="00C61A5C" w:rsidP="00DE59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After School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A5C" w:rsidRPr="00F16560" w:rsidRDefault="00C61A5C" w:rsidP="00DE59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153B8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School Age Full Day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53B8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16560">
              <w:rPr>
                <w:rFonts w:ascii="Calibri" w:hAnsi="Calibri" w:cs="Calibri"/>
                <w:b/>
                <w:bCs/>
                <w:color w:val="000000"/>
              </w:rPr>
              <w:t>Family Child Care (If a FCC System include Admin. Rate)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1656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F153B8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Providers:  Under 2 Years of Age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53B8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Providers:  2 Years of Age and Over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53B8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16560">
              <w:rPr>
                <w:rFonts w:ascii="Calibri" w:hAnsi="Calibri" w:cs="Calibri"/>
                <w:b/>
                <w:bCs/>
                <w:color w:val="000000"/>
              </w:rPr>
              <w:t>Head Start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1656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F153B8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Before Head Start (up to 2 hours)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53B8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After Head Start (minimum of 4 hours)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53B8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Before and After Head Start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53B8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Full Day (Head Start Not in Session)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53B8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16560">
              <w:rPr>
                <w:rFonts w:ascii="Calibri" w:hAnsi="Calibri" w:cs="Calibri"/>
                <w:b/>
                <w:bCs/>
                <w:color w:val="000000"/>
              </w:rPr>
              <w:t>Kindergarten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1656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F153B8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Before Kindergarten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53B8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After Kindergarten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53B8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Before and After Kindergarten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53B8" w:rsidRPr="00F16560" w:rsidTr="00DE59A9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Full Day Kindergarten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B8" w:rsidRPr="00F16560" w:rsidRDefault="00F153B8" w:rsidP="00DE59A9">
            <w:pPr>
              <w:rPr>
                <w:rFonts w:ascii="Calibri" w:hAnsi="Calibri" w:cs="Calibri"/>
                <w:color w:val="000000"/>
              </w:rPr>
            </w:pPr>
            <w:r w:rsidRPr="00F1656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16AE9" w:rsidRDefault="00F16AE9" w:rsidP="00DD4E5C">
      <w:pPr>
        <w:pStyle w:val="BodyText2"/>
        <w:rPr>
          <w:color w:val="000000"/>
          <w:szCs w:val="24"/>
        </w:rPr>
      </w:pPr>
    </w:p>
    <w:p w:rsidR="00F16AE9" w:rsidRDefault="00F16AE9" w:rsidP="00DD4E5C">
      <w:pPr>
        <w:pStyle w:val="BodyText2"/>
        <w:rPr>
          <w:color w:val="000000"/>
          <w:szCs w:val="24"/>
        </w:rPr>
      </w:pPr>
    </w:p>
    <w:p w:rsidR="00F16AE9" w:rsidRDefault="00F16AE9" w:rsidP="00DD4E5C">
      <w:pPr>
        <w:pStyle w:val="BodyText2"/>
        <w:rPr>
          <w:color w:val="000000"/>
          <w:szCs w:val="24"/>
        </w:rPr>
      </w:pPr>
    </w:p>
    <w:p w:rsidR="00F16AE9" w:rsidRDefault="00F16AE9" w:rsidP="00DD4E5C">
      <w:pPr>
        <w:pStyle w:val="BodyText2"/>
        <w:rPr>
          <w:color w:val="000000"/>
          <w:szCs w:val="24"/>
        </w:rPr>
      </w:pPr>
    </w:p>
    <w:p w:rsidR="00F16AE9" w:rsidRDefault="00F16AE9" w:rsidP="00DD4E5C">
      <w:pPr>
        <w:pStyle w:val="BodyText2"/>
        <w:rPr>
          <w:color w:val="000000"/>
          <w:szCs w:val="24"/>
        </w:rPr>
      </w:pPr>
    </w:p>
    <w:p w:rsidR="00F16AE9" w:rsidRDefault="00F16AE9" w:rsidP="00DD4E5C">
      <w:pPr>
        <w:pStyle w:val="BodyText2"/>
        <w:rPr>
          <w:color w:val="000000"/>
          <w:szCs w:val="24"/>
        </w:rPr>
      </w:pPr>
    </w:p>
    <w:p w:rsidR="00F16AE9" w:rsidRDefault="00F16AE9" w:rsidP="00DD4E5C">
      <w:pPr>
        <w:pStyle w:val="BodyText2"/>
        <w:rPr>
          <w:color w:val="000000"/>
          <w:szCs w:val="24"/>
        </w:rPr>
      </w:pPr>
    </w:p>
    <w:p w:rsidR="00F16AE9" w:rsidRDefault="00F16AE9" w:rsidP="00DD4E5C">
      <w:pPr>
        <w:pStyle w:val="BodyText2"/>
        <w:rPr>
          <w:color w:val="000000"/>
          <w:szCs w:val="24"/>
        </w:rPr>
      </w:pPr>
    </w:p>
    <w:p w:rsidR="00F16AE9" w:rsidRDefault="00F16AE9" w:rsidP="00DD4E5C">
      <w:pPr>
        <w:pStyle w:val="BodyText2"/>
        <w:rPr>
          <w:color w:val="000000"/>
          <w:szCs w:val="24"/>
        </w:rPr>
      </w:pPr>
    </w:p>
    <w:p w:rsidR="00F16AE9" w:rsidRDefault="00F16AE9" w:rsidP="00DD4E5C">
      <w:pPr>
        <w:pStyle w:val="BodyText2"/>
        <w:rPr>
          <w:color w:val="000000"/>
          <w:szCs w:val="24"/>
        </w:rPr>
      </w:pPr>
    </w:p>
    <w:p w:rsidR="00F16AE9" w:rsidRDefault="00F16AE9" w:rsidP="00DD4E5C">
      <w:pPr>
        <w:pStyle w:val="BodyText2"/>
        <w:rPr>
          <w:color w:val="000000"/>
          <w:szCs w:val="24"/>
        </w:rPr>
      </w:pPr>
    </w:p>
    <w:p w:rsidR="00F16AE9" w:rsidRDefault="00F16AE9" w:rsidP="00DD4E5C">
      <w:pPr>
        <w:pStyle w:val="BodyText2"/>
        <w:rPr>
          <w:color w:val="000000"/>
          <w:szCs w:val="24"/>
        </w:rPr>
      </w:pPr>
    </w:p>
    <w:p w:rsidR="00F16AE9" w:rsidRDefault="00F16AE9" w:rsidP="00DD4E5C">
      <w:pPr>
        <w:pStyle w:val="BodyText2"/>
        <w:rPr>
          <w:color w:val="000000"/>
          <w:szCs w:val="24"/>
        </w:rPr>
      </w:pPr>
    </w:p>
    <w:p w:rsidR="00F16AE9" w:rsidRDefault="00F16AE9" w:rsidP="00DD4E5C">
      <w:pPr>
        <w:pStyle w:val="BodyText2"/>
        <w:rPr>
          <w:color w:val="000000"/>
          <w:szCs w:val="24"/>
        </w:rPr>
      </w:pPr>
    </w:p>
    <w:p w:rsidR="00252EE3" w:rsidRDefault="00252EE3" w:rsidP="00DD4E5C">
      <w:pPr>
        <w:pStyle w:val="BodyText2"/>
        <w:rPr>
          <w:color w:val="000000"/>
          <w:szCs w:val="24"/>
        </w:rPr>
      </w:pPr>
    </w:p>
    <w:p w:rsidR="00252EE3" w:rsidRDefault="00252EE3" w:rsidP="00DD4E5C">
      <w:pPr>
        <w:pStyle w:val="BodyText2"/>
        <w:rPr>
          <w:color w:val="000000"/>
          <w:szCs w:val="24"/>
        </w:rPr>
      </w:pPr>
    </w:p>
    <w:p w:rsidR="00DD4E5C" w:rsidRDefault="00DD4E5C" w:rsidP="00B66D31">
      <w:pPr>
        <w:pStyle w:val="BodyText2"/>
        <w:rPr>
          <w:color w:val="000000"/>
          <w:szCs w:val="24"/>
        </w:rPr>
      </w:pPr>
    </w:p>
    <w:p w:rsidR="00DD4E5C" w:rsidRDefault="00DD4E5C" w:rsidP="00B66D31">
      <w:pPr>
        <w:pStyle w:val="BodyText2"/>
        <w:rPr>
          <w:color w:val="000000"/>
          <w:szCs w:val="24"/>
        </w:rPr>
      </w:pPr>
    </w:p>
    <w:p w:rsidR="00B66D31" w:rsidRDefault="00B66D31" w:rsidP="00B66D31">
      <w:pPr>
        <w:pStyle w:val="BodyText2"/>
        <w:rPr>
          <w:color w:val="000000"/>
          <w:szCs w:val="24"/>
        </w:rPr>
      </w:pPr>
      <w:r w:rsidRPr="00F44E38">
        <w:rPr>
          <w:b/>
          <w:color w:val="000000"/>
          <w:szCs w:val="24"/>
        </w:rPr>
        <w:t xml:space="preserve">Legal Name of </w:t>
      </w:r>
      <w:r>
        <w:rPr>
          <w:b/>
          <w:color w:val="000000"/>
          <w:szCs w:val="24"/>
        </w:rPr>
        <w:t>Provider/Educator</w:t>
      </w:r>
      <w:r>
        <w:rPr>
          <w:color w:val="000000"/>
          <w:szCs w:val="24"/>
        </w:rPr>
        <w:t>:</w:t>
      </w:r>
    </w:p>
    <w:p w:rsidR="00B66D31" w:rsidRDefault="00B66D31" w:rsidP="00B66D31">
      <w:pPr>
        <w:pStyle w:val="BodyText2"/>
        <w:rPr>
          <w:color w:val="000000"/>
          <w:szCs w:val="24"/>
        </w:rPr>
      </w:pPr>
    </w:p>
    <w:p w:rsidR="00B66D31" w:rsidRDefault="00B66D31" w:rsidP="00B66D31">
      <w:pPr>
        <w:pStyle w:val="BodyText2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</w:t>
      </w:r>
    </w:p>
    <w:p w:rsidR="00B66D31" w:rsidRDefault="00B66D31" w:rsidP="00B66D31">
      <w:pPr>
        <w:pStyle w:val="BodyText2"/>
        <w:rPr>
          <w:color w:val="000000"/>
          <w:szCs w:val="24"/>
        </w:rPr>
      </w:pPr>
    </w:p>
    <w:p w:rsidR="00B66D31" w:rsidRDefault="00B66D31" w:rsidP="00B66D31">
      <w:pPr>
        <w:pStyle w:val="BodyText2"/>
        <w:rPr>
          <w:color w:val="000000"/>
          <w:szCs w:val="24"/>
        </w:rPr>
      </w:pPr>
    </w:p>
    <w:p w:rsidR="00B66D31" w:rsidRDefault="00B66D31" w:rsidP="00B66D31">
      <w:pPr>
        <w:pStyle w:val="BodyText2"/>
        <w:rPr>
          <w:color w:val="000000"/>
          <w:szCs w:val="24"/>
        </w:rPr>
      </w:pPr>
      <w:r w:rsidRPr="00F44E38">
        <w:rPr>
          <w:b/>
          <w:color w:val="000000"/>
          <w:szCs w:val="24"/>
        </w:rPr>
        <w:t>Region</w:t>
      </w:r>
      <w:r>
        <w:rPr>
          <w:color w:val="000000"/>
          <w:szCs w:val="24"/>
        </w:rPr>
        <w:t xml:space="preserve"> (submit only one form for each region that you hold one or more contracts)</w:t>
      </w:r>
    </w:p>
    <w:p w:rsidR="00B66D31" w:rsidRDefault="00B66D31" w:rsidP="00B66D31">
      <w:pPr>
        <w:pStyle w:val="BodyText2"/>
        <w:rPr>
          <w:color w:val="000000"/>
          <w:szCs w:val="24"/>
        </w:rPr>
      </w:pPr>
    </w:p>
    <w:p w:rsidR="00B66D31" w:rsidRPr="00C356A1" w:rsidRDefault="00B66D31" w:rsidP="00B66D31">
      <w:pPr>
        <w:pStyle w:val="BodyText2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B66D31" w:rsidRPr="00C356A1" w:rsidRDefault="00B66D31" w:rsidP="00B66D31">
      <w:pPr>
        <w:pStyle w:val="BodyText2"/>
        <w:rPr>
          <w:szCs w:val="24"/>
        </w:rPr>
      </w:pPr>
    </w:p>
    <w:p w:rsidR="00B66D31" w:rsidRDefault="00B66D31" w:rsidP="00B66D31">
      <w:pPr>
        <w:pStyle w:val="BodyText2"/>
        <w:rPr>
          <w:b/>
          <w:szCs w:val="24"/>
        </w:rPr>
      </w:pPr>
    </w:p>
    <w:p w:rsidR="00B66D31" w:rsidRPr="00C356A1" w:rsidRDefault="00B66D31" w:rsidP="00B66D31">
      <w:pPr>
        <w:pStyle w:val="BodyText2"/>
        <w:rPr>
          <w:b/>
          <w:szCs w:val="24"/>
        </w:rPr>
      </w:pPr>
      <w:r w:rsidRPr="00C356A1">
        <w:rPr>
          <w:b/>
          <w:szCs w:val="24"/>
        </w:rPr>
        <w:t xml:space="preserve">The </w:t>
      </w:r>
      <w:r>
        <w:rPr>
          <w:b/>
          <w:szCs w:val="24"/>
        </w:rPr>
        <w:t>Provider/Educator</w:t>
      </w:r>
      <w:r w:rsidRPr="00C356A1">
        <w:rPr>
          <w:b/>
          <w:szCs w:val="24"/>
        </w:rPr>
        <w:t xml:space="preserve"> agrees to comply with the requirements stated herein above.</w:t>
      </w:r>
    </w:p>
    <w:p w:rsidR="00B66D31" w:rsidRPr="00C356A1" w:rsidRDefault="00B66D31" w:rsidP="00B66D31">
      <w:pPr>
        <w:pStyle w:val="BodyText2"/>
        <w:rPr>
          <w:szCs w:val="24"/>
        </w:rPr>
      </w:pPr>
    </w:p>
    <w:p w:rsidR="00B66D31" w:rsidRPr="00C356A1" w:rsidRDefault="00B66D31" w:rsidP="00B66D31">
      <w:pPr>
        <w:pStyle w:val="BodyText2"/>
        <w:rPr>
          <w:szCs w:val="24"/>
        </w:rPr>
      </w:pPr>
    </w:p>
    <w:p w:rsidR="00B66D31" w:rsidRPr="00C356A1" w:rsidRDefault="00B66D31" w:rsidP="00B66D31">
      <w:pPr>
        <w:pStyle w:val="BodyText2"/>
        <w:rPr>
          <w:szCs w:val="24"/>
        </w:rPr>
      </w:pPr>
    </w:p>
    <w:p w:rsidR="00B66D31" w:rsidRPr="00C356A1" w:rsidRDefault="00B66D31" w:rsidP="00B66D31">
      <w:pPr>
        <w:pStyle w:val="BodyText2"/>
        <w:rPr>
          <w:szCs w:val="24"/>
        </w:rPr>
      </w:pPr>
      <w:r w:rsidRPr="00C356A1">
        <w:rPr>
          <w:szCs w:val="24"/>
        </w:rPr>
        <w:t>_________________________________</w:t>
      </w:r>
      <w:r w:rsidRPr="00C356A1">
        <w:rPr>
          <w:szCs w:val="24"/>
        </w:rPr>
        <w:tab/>
      </w:r>
      <w:r w:rsidRPr="00C356A1">
        <w:rPr>
          <w:szCs w:val="24"/>
        </w:rPr>
        <w:tab/>
      </w:r>
      <w:r w:rsidRPr="00C356A1">
        <w:rPr>
          <w:szCs w:val="24"/>
        </w:rPr>
        <w:tab/>
        <w:t>________________________</w:t>
      </w:r>
    </w:p>
    <w:p w:rsidR="00B66D31" w:rsidRDefault="00B66D31" w:rsidP="00B66D31">
      <w:pPr>
        <w:pStyle w:val="BodyText2"/>
        <w:rPr>
          <w:szCs w:val="24"/>
        </w:rPr>
      </w:pPr>
      <w:r>
        <w:rPr>
          <w:szCs w:val="24"/>
        </w:rPr>
        <w:t>Provider/Educator's Authorized</w:t>
      </w:r>
      <w:r w:rsidRPr="00C356A1">
        <w:rPr>
          <w:szCs w:val="24"/>
        </w:rPr>
        <w:t xml:space="preserve"> Signature</w:t>
      </w:r>
      <w:r w:rsidRPr="00C356A1">
        <w:rPr>
          <w:szCs w:val="24"/>
        </w:rPr>
        <w:tab/>
      </w:r>
      <w:r w:rsidRPr="00C356A1">
        <w:rPr>
          <w:szCs w:val="24"/>
        </w:rPr>
        <w:tab/>
      </w:r>
      <w:r w:rsidRPr="00C356A1">
        <w:rPr>
          <w:szCs w:val="24"/>
        </w:rPr>
        <w:tab/>
        <w:t>Date</w:t>
      </w:r>
    </w:p>
    <w:p w:rsidR="00B66D31" w:rsidRDefault="00B66D31" w:rsidP="00B66D31">
      <w:pPr>
        <w:pStyle w:val="BodyText2"/>
        <w:rPr>
          <w:szCs w:val="24"/>
        </w:rPr>
      </w:pPr>
    </w:p>
    <w:p w:rsidR="00B66D31" w:rsidRDefault="00B66D31" w:rsidP="00B66D31">
      <w:pPr>
        <w:pStyle w:val="BodyText2"/>
        <w:rPr>
          <w:szCs w:val="24"/>
        </w:rPr>
      </w:pPr>
    </w:p>
    <w:p w:rsidR="00B66D31" w:rsidRPr="00C356A1" w:rsidRDefault="00B66D31" w:rsidP="00B66D31">
      <w:pPr>
        <w:pStyle w:val="BodyText2"/>
        <w:rPr>
          <w:szCs w:val="24"/>
        </w:rPr>
      </w:pPr>
      <w:r w:rsidRPr="00C356A1">
        <w:rPr>
          <w:szCs w:val="24"/>
        </w:rPr>
        <w:t>_________________________________</w:t>
      </w:r>
      <w:r w:rsidR="00C1355A">
        <w:rPr>
          <w:szCs w:val="24"/>
        </w:rPr>
        <w:t>________</w:t>
      </w:r>
      <w:r w:rsidRPr="00C356A1">
        <w:rPr>
          <w:szCs w:val="24"/>
        </w:rPr>
        <w:tab/>
      </w:r>
      <w:r w:rsidRPr="00C356A1">
        <w:rPr>
          <w:szCs w:val="24"/>
        </w:rPr>
        <w:tab/>
      </w:r>
      <w:r w:rsidRPr="00C356A1">
        <w:rPr>
          <w:szCs w:val="24"/>
        </w:rPr>
        <w:tab/>
      </w:r>
    </w:p>
    <w:p w:rsidR="00B66D31" w:rsidRPr="00C356A1" w:rsidRDefault="00B66D31" w:rsidP="00B66D31">
      <w:pPr>
        <w:pStyle w:val="BodyText2"/>
        <w:rPr>
          <w:szCs w:val="24"/>
        </w:rPr>
      </w:pPr>
      <w:r>
        <w:rPr>
          <w:szCs w:val="24"/>
        </w:rPr>
        <w:t>Provider/Educator's Authorized</w:t>
      </w:r>
      <w:r w:rsidRPr="00C356A1">
        <w:rPr>
          <w:szCs w:val="24"/>
        </w:rPr>
        <w:t xml:space="preserve"> Signat</w:t>
      </w:r>
      <w:r>
        <w:rPr>
          <w:szCs w:val="24"/>
        </w:rPr>
        <w:t>ory's Name</w:t>
      </w:r>
    </w:p>
    <w:sectPr w:rsidR="00B66D31" w:rsidRPr="00C356A1" w:rsidSect="00B66D31">
      <w:footerReference w:type="default" r:id="rId11"/>
      <w:type w:val="continuous"/>
      <w:pgSz w:w="12240" w:h="15840" w:code="1"/>
      <w:pgMar w:top="1440" w:right="1440" w:bottom="1440" w:left="1728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CD" w:rsidRDefault="000723CD">
      <w:r>
        <w:separator/>
      </w:r>
    </w:p>
  </w:endnote>
  <w:endnote w:type="continuationSeparator" w:id="0">
    <w:p w:rsidR="000723CD" w:rsidRDefault="0007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B2" w:rsidRPr="00FA6FB0" w:rsidRDefault="004E56B2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B2" w:rsidRDefault="00867132" w:rsidP="005D69E8">
    <w:pPr>
      <w:autoSpaceDE w:val="0"/>
      <w:autoSpaceDN w:val="0"/>
      <w:adjustRightInd w:val="0"/>
      <w:ind w:right="-1440" w:hanging="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-750570</wp:posOffset>
              </wp:positionH>
              <wp:positionV relativeFrom="paragraph">
                <wp:posOffset>-343535</wp:posOffset>
              </wp:positionV>
              <wp:extent cx="7429500" cy="9347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6B2" w:rsidRPr="002122FB" w:rsidRDefault="004E56B2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center"/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</w:pPr>
                          <w:r w:rsidRPr="00FA6FB0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51 Sleeper Street, 4th Floor, Boston, MA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 02210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br/>
                            <w:t xml:space="preserve">Phone: 617-988-6600 • Fax: 617-988-2451 • </w:t>
                          </w:r>
                          <w:r w:rsidRPr="006072E6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commissioners.office@state.ma.us</w:t>
                          </w:r>
                        </w:p>
                        <w:p w:rsidR="004E56B2" w:rsidRPr="00152179" w:rsidRDefault="004E56B2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</w:pPr>
                          <w:r w:rsidRPr="00FA6FB0">
                            <w:rPr>
                              <w:rFonts w:ascii="Helvetica" w:hAnsi="Helvetica" w:cs="HelveticaNeue-MediumCond"/>
                              <w:color w:val="999999"/>
                              <w:sz w:val="18"/>
                              <w:szCs w:val="18"/>
                            </w:rPr>
                            <w:t>www.eec.state.ma.us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9.1pt;margin-top:-27.05pt;width:585pt;height:7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/N3tAIAALk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" filled="f" stroked="f">
              <v:textbox>
                <w:txbxContent>
                  <w:p w:rsidR="004E56B2" w:rsidRPr="002122FB" w:rsidRDefault="004E56B2" w:rsidP="005D69E8">
                    <w:pPr>
                      <w:autoSpaceDE w:val="0"/>
                      <w:autoSpaceDN w:val="0"/>
                      <w:adjustRightInd w:val="0"/>
                      <w:spacing w:after="60"/>
                      <w:jc w:val="center"/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</w:pPr>
                    <w:r w:rsidRPr="00FA6FB0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51 Sleeper Street, 4th Floor, Boston, MA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 02210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br/>
                      <w:t xml:space="preserve">Phone: 617-988-6600 • Fax: 617-988-2451 • </w:t>
                    </w:r>
                    <w:r w:rsidRPr="006072E6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commissioners.office@state.ma.us</w:t>
                    </w:r>
                  </w:p>
                  <w:p w:rsidR="004E56B2" w:rsidRPr="00152179" w:rsidRDefault="004E56B2" w:rsidP="005D69E8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</w:pPr>
                    <w:r w:rsidRPr="00FA6FB0">
                      <w:rPr>
                        <w:rFonts w:ascii="Helvetica" w:hAnsi="Helvetica" w:cs="HelveticaNeue-MediumCond"/>
                        <w:color w:val="999999"/>
                        <w:sz w:val="18"/>
                        <w:szCs w:val="18"/>
                      </w:rPr>
                      <w:t>www.eec.state.ma.us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B2" w:rsidRPr="009A73BB" w:rsidRDefault="004E56B2">
    <w:pPr>
      <w:pStyle w:val="Footer"/>
      <w:rPr>
        <w:sz w:val="22"/>
        <w:szCs w:val="22"/>
      </w:rPr>
    </w:pPr>
    <w:r w:rsidRPr="009A73BB">
      <w:rPr>
        <w:sz w:val="22"/>
        <w:szCs w:val="22"/>
      </w:rPr>
      <w:tab/>
    </w:r>
    <w:r w:rsidRPr="009A73BB">
      <w:rPr>
        <w:sz w:val="22"/>
        <w:szCs w:val="22"/>
      </w:rPr>
      <w:tab/>
      <w:t xml:space="preserve">Page </w:t>
    </w:r>
    <w:r w:rsidR="000C0B50" w:rsidRPr="009A73BB">
      <w:rPr>
        <w:rStyle w:val="PageNumber"/>
        <w:sz w:val="22"/>
        <w:szCs w:val="22"/>
      </w:rPr>
      <w:fldChar w:fldCharType="begin"/>
    </w:r>
    <w:r w:rsidRPr="009A73BB">
      <w:rPr>
        <w:rStyle w:val="PageNumber"/>
        <w:sz w:val="22"/>
        <w:szCs w:val="22"/>
      </w:rPr>
      <w:instrText xml:space="preserve"> PAGE </w:instrText>
    </w:r>
    <w:r w:rsidR="000C0B50" w:rsidRPr="009A73BB">
      <w:rPr>
        <w:rStyle w:val="PageNumber"/>
        <w:sz w:val="22"/>
        <w:szCs w:val="22"/>
      </w:rPr>
      <w:fldChar w:fldCharType="separate"/>
    </w:r>
    <w:r w:rsidR="00630401">
      <w:rPr>
        <w:rStyle w:val="PageNumber"/>
        <w:noProof/>
        <w:sz w:val="22"/>
        <w:szCs w:val="22"/>
      </w:rPr>
      <w:t>4</w:t>
    </w:r>
    <w:r w:rsidR="000C0B50" w:rsidRPr="009A73BB">
      <w:rPr>
        <w:rStyle w:val="PageNumber"/>
        <w:sz w:val="22"/>
        <w:szCs w:val="22"/>
      </w:rPr>
      <w:fldChar w:fldCharType="end"/>
    </w:r>
    <w:r w:rsidRPr="009A73BB">
      <w:rPr>
        <w:rStyle w:val="PageNumber"/>
        <w:sz w:val="22"/>
        <w:szCs w:val="22"/>
      </w:rPr>
      <w:t xml:space="preserve"> of </w:t>
    </w:r>
    <w:r w:rsidR="000C0B50" w:rsidRPr="009A73BB">
      <w:rPr>
        <w:rStyle w:val="PageNumber"/>
        <w:sz w:val="22"/>
        <w:szCs w:val="22"/>
      </w:rPr>
      <w:fldChar w:fldCharType="begin"/>
    </w:r>
    <w:r w:rsidRPr="009A73BB">
      <w:rPr>
        <w:rStyle w:val="PageNumber"/>
        <w:sz w:val="22"/>
        <w:szCs w:val="22"/>
      </w:rPr>
      <w:instrText xml:space="preserve"> NUMPAGES </w:instrText>
    </w:r>
    <w:r w:rsidR="000C0B50" w:rsidRPr="009A73BB">
      <w:rPr>
        <w:rStyle w:val="PageNumber"/>
        <w:sz w:val="22"/>
        <w:szCs w:val="22"/>
      </w:rPr>
      <w:fldChar w:fldCharType="separate"/>
    </w:r>
    <w:r w:rsidR="00630401">
      <w:rPr>
        <w:rStyle w:val="PageNumber"/>
        <w:noProof/>
        <w:sz w:val="22"/>
        <w:szCs w:val="22"/>
      </w:rPr>
      <w:t>4</w:t>
    </w:r>
    <w:r w:rsidR="000C0B50" w:rsidRPr="009A73BB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CD" w:rsidRDefault="000723CD">
      <w:r>
        <w:separator/>
      </w:r>
    </w:p>
  </w:footnote>
  <w:footnote w:type="continuationSeparator" w:id="0">
    <w:p w:rsidR="000723CD" w:rsidRDefault="000723CD">
      <w:r>
        <w:continuationSeparator/>
      </w:r>
    </w:p>
  </w:footnote>
  <w:footnote w:id="1">
    <w:p w:rsidR="004E56B2" w:rsidRPr="00077B6C" w:rsidRDefault="004E56B2" w:rsidP="00B66D31">
      <w:pPr>
        <w:pStyle w:val="FootnoteText"/>
      </w:pPr>
      <w:r>
        <w:rPr>
          <w:rStyle w:val="FootnoteReference"/>
        </w:rPr>
        <w:footnoteRef/>
      </w:r>
      <w:r>
        <w:t xml:space="preserve"> The Commonwealth cannot be charged a rate which is higher than the lowest fee charged to the general public for human and social services, including child care, with the following exceptions:  (a) where a Provider/Educator has charged and collected a fee calculated based upon EEC's approved sliding fee scale (i.e., parent fees); or (b) where a Provider/Educator has sufficient restricted charitable contributions designated by its donor, in writing, to be used to offset the difference between the child care fee charged and collected to a private paying family and the rate charged to the Commonwealth.  </w:t>
      </w:r>
      <w:r>
        <w:rPr>
          <w:i/>
        </w:rPr>
        <w:t>See</w:t>
      </w:r>
      <w:r>
        <w:t xml:space="preserve"> 808 CMR 1.03(4).</w:t>
      </w:r>
      <w:r>
        <w:br/>
      </w:r>
    </w:p>
  </w:footnote>
  <w:footnote w:id="2">
    <w:p w:rsidR="004E56B2" w:rsidRDefault="004E56B2" w:rsidP="00B66D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7DBC">
        <w:t xml:space="preserve">For </w:t>
      </w:r>
      <w:r>
        <w:t>Provider/Educator</w:t>
      </w:r>
      <w:r w:rsidRPr="00EB7DBC">
        <w:t>s electing to increase salaries to pursue the objectives of this FY</w:t>
      </w:r>
      <w:r>
        <w:t>201</w:t>
      </w:r>
      <w:r w:rsidR="002A73A8">
        <w:t xml:space="preserve">9 </w:t>
      </w:r>
      <w:r w:rsidRPr="00EB7DBC">
        <w:t xml:space="preserve">rate increase, the </w:t>
      </w:r>
      <w:r>
        <w:t>Provider/Educator</w:t>
      </w:r>
      <w:r w:rsidRPr="00EB7DBC">
        <w:t xml:space="preserve"> may also use the FY</w:t>
      </w:r>
      <w:r w:rsidR="002A73A8">
        <w:t>2019</w:t>
      </w:r>
      <w:r w:rsidRPr="00EB7DBC">
        <w:t xml:space="preserve"> rate increase to cover the increased cost of employer payroll tax and fringe benefit obligations directly associated with these salary increases</w:t>
      </w:r>
      <w:r>
        <w:t>, if necessary, provided that the Provider/Educator is able to maintain documentation of these payroll increases</w:t>
      </w:r>
      <w:r w:rsidRPr="00EB7DB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50" w:type="dxa"/>
      <w:tblInd w:w="-5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250"/>
    </w:tblGrid>
    <w:tr w:rsidR="004E56B2" w:rsidTr="00BC09E4">
      <w:tc>
        <w:tcPr>
          <w:tcW w:w="11250" w:type="dxa"/>
          <w:tcBorders>
            <w:top w:val="nil"/>
            <w:left w:val="nil"/>
            <w:bottom w:val="nil"/>
            <w:right w:val="nil"/>
          </w:tcBorders>
        </w:tcPr>
        <w:p w:rsidR="004E56B2" w:rsidRDefault="004E56B2" w:rsidP="00BC09E4">
          <w:pPr>
            <w:tabs>
              <w:tab w:val="left" w:pos="5742"/>
            </w:tabs>
          </w:pPr>
          <w:r>
            <w:rPr>
              <w:noProof/>
            </w:rPr>
            <w:drawing>
              <wp:inline distT="0" distB="0" distL="0" distR="0">
                <wp:extent cx="2317750" cy="627380"/>
                <wp:effectExtent l="19050" t="0" r="6350" b="0"/>
                <wp:docPr id="1" name="Picture 1" descr="eec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c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</w:t>
          </w:r>
          <w:r>
            <w:rPr>
              <w:noProof/>
            </w:rPr>
            <w:drawing>
              <wp:inline distT="0" distB="0" distL="0" distR="0">
                <wp:extent cx="478155" cy="605790"/>
                <wp:effectExtent l="1905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E56B2" w:rsidTr="00BC09E4">
      <w:tc>
        <w:tcPr>
          <w:tcW w:w="11250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4E56B2" w:rsidRPr="00BC09E4" w:rsidRDefault="004E56B2" w:rsidP="00C52234">
          <w:pPr>
            <w:tabs>
              <w:tab w:val="left" w:pos="5022"/>
            </w:tabs>
            <w:spacing w:after="40"/>
            <w:ind w:left="1066"/>
            <w:rPr>
              <w:rFonts w:ascii="Arial Narrow" w:hAnsi="Arial Narrow" w:cs="Arial"/>
              <w:b/>
              <w:sz w:val="20"/>
              <w:szCs w:val="20"/>
            </w:rPr>
          </w:pPr>
          <w:r w:rsidRPr="00BC09E4">
            <w:rPr>
              <w:rFonts w:ascii="Arial Narrow" w:hAnsi="Arial Narrow" w:cs="Arial"/>
              <w:b/>
              <w:sz w:val="20"/>
              <w:szCs w:val="20"/>
            </w:rPr>
            <w:t>The Commonwealth of Massachusetts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  <w:t xml:space="preserve">Thomas L. Weber, </w:t>
          </w:r>
          <w:r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>Commissioner</w:t>
          </w:r>
        </w:p>
      </w:tc>
    </w:tr>
  </w:tbl>
  <w:p w:rsidR="004E56B2" w:rsidRDefault="004E56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A6C"/>
    <w:multiLevelType w:val="hybridMultilevel"/>
    <w:tmpl w:val="1FC298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3ECB"/>
    <w:multiLevelType w:val="hybridMultilevel"/>
    <w:tmpl w:val="A0CE74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8E2A28"/>
    <w:multiLevelType w:val="hybridMultilevel"/>
    <w:tmpl w:val="E78EEB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F27E3C"/>
    <w:multiLevelType w:val="hybridMultilevel"/>
    <w:tmpl w:val="02F8447A"/>
    <w:lvl w:ilvl="0" w:tplc="D8EC74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558D1"/>
    <w:multiLevelType w:val="hybridMultilevel"/>
    <w:tmpl w:val="25B8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D36A4"/>
    <w:multiLevelType w:val="hybridMultilevel"/>
    <w:tmpl w:val="2C9A5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BC5A9B"/>
    <w:multiLevelType w:val="hybridMultilevel"/>
    <w:tmpl w:val="4F4EB3BE"/>
    <w:lvl w:ilvl="0" w:tplc="9AD09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85"/>
    <w:rsid w:val="000030E6"/>
    <w:rsid w:val="00027ACA"/>
    <w:rsid w:val="00036499"/>
    <w:rsid w:val="000723CD"/>
    <w:rsid w:val="00073079"/>
    <w:rsid w:val="00080E24"/>
    <w:rsid w:val="00090051"/>
    <w:rsid w:val="0009518B"/>
    <w:rsid w:val="000C0B50"/>
    <w:rsid w:val="000D2A9D"/>
    <w:rsid w:val="00111BDC"/>
    <w:rsid w:val="00120374"/>
    <w:rsid w:val="00121408"/>
    <w:rsid w:val="001321FB"/>
    <w:rsid w:val="0015393D"/>
    <w:rsid w:val="00161069"/>
    <w:rsid w:val="00165AB0"/>
    <w:rsid w:val="00166F7C"/>
    <w:rsid w:val="001713D9"/>
    <w:rsid w:val="00176C00"/>
    <w:rsid w:val="001832BB"/>
    <w:rsid w:val="001A13B1"/>
    <w:rsid w:val="001A681E"/>
    <w:rsid w:val="001A77A4"/>
    <w:rsid w:val="001B0E67"/>
    <w:rsid w:val="001B6FF1"/>
    <w:rsid w:val="001C57A3"/>
    <w:rsid w:val="001D27D2"/>
    <w:rsid w:val="001D58E9"/>
    <w:rsid w:val="001D5BFB"/>
    <w:rsid w:val="001D5F2C"/>
    <w:rsid w:val="001F353E"/>
    <w:rsid w:val="002154AF"/>
    <w:rsid w:val="0022548C"/>
    <w:rsid w:val="00233D45"/>
    <w:rsid w:val="00236035"/>
    <w:rsid w:val="00237967"/>
    <w:rsid w:val="00243FEA"/>
    <w:rsid w:val="002521A6"/>
    <w:rsid w:val="00252EE3"/>
    <w:rsid w:val="002868AB"/>
    <w:rsid w:val="002932D1"/>
    <w:rsid w:val="002A73A8"/>
    <w:rsid w:val="002B145B"/>
    <w:rsid w:val="002B37DE"/>
    <w:rsid w:val="002C7FBB"/>
    <w:rsid w:val="002D1EEC"/>
    <w:rsid w:val="002F20A8"/>
    <w:rsid w:val="0030285F"/>
    <w:rsid w:val="00307F72"/>
    <w:rsid w:val="00315681"/>
    <w:rsid w:val="00335E7D"/>
    <w:rsid w:val="00344E81"/>
    <w:rsid w:val="00346B59"/>
    <w:rsid w:val="003509DD"/>
    <w:rsid w:val="00360F89"/>
    <w:rsid w:val="003770E2"/>
    <w:rsid w:val="003847A6"/>
    <w:rsid w:val="003C46E2"/>
    <w:rsid w:val="003D419B"/>
    <w:rsid w:val="003F3551"/>
    <w:rsid w:val="00401B69"/>
    <w:rsid w:val="00423F02"/>
    <w:rsid w:val="004308A3"/>
    <w:rsid w:val="00444CCC"/>
    <w:rsid w:val="00457767"/>
    <w:rsid w:val="004600F3"/>
    <w:rsid w:val="00473350"/>
    <w:rsid w:val="004943E7"/>
    <w:rsid w:val="004A1850"/>
    <w:rsid w:val="004D4FB7"/>
    <w:rsid w:val="004E2573"/>
    <w:rsid w:val="004E56B2"/>
    <w:rsid w:val="0050627F"/>
    <w:rsid w:val="00511A22"/>
    <w:rsid w:val="00512585"/>
    <w:rsid w:val="00524E14"/>
    <w:rsid w:val="00530CCD"/>
    <w:rsid w:val="0053116F"/>
    <w:rsid w:val="00533C3A"/>
    <w:rsid w:val="005658A7"/>
    <w:rsid w:val="0058393F"/>
    <w:rsid w:val="005930E8"/>
    <w:rsid w:val="005C244D"/>
    <w:rsid w:val="005D1B6A"/>
    <w:rsid w:val="005D69E8"/>
    <w:rsid w:val="00603500"/>
    <w:rsid w:val="00616479"/>
    <w:rsid w:val="00630401"/>
    <w:rsid w:val="00641E50"/>
    <w:rsid w:val="00654703"/>
    <w:rsid w:val="00663C52"/>
    <w:rsid w:val="006657C2"/>
    <w:rsid w:val="00695973"/>
    <w:rsid w:val="006B5A27"/>
    <w:rsid w:val="006C7AF3"/>
    <w:rsid w:val="006D4C57"/>
    <w:rsid w:val="006E4007"/>
    <w:rsid w:val="006E7CC8"/>
    <w:rsid w:val="006F245F"/>
    <w:rsid w:val="00702DAF"/>
    <w:rsid w:val="00712427"/>
    <w:rsid w:val="0072608B"/>
    <w:rsid w:val="00744B57"/>
    <w:rsid w:val="00745838"/>
    <w:rsid w:val="007461E2"/>
    <w:rsid w:val="007757C8"/>
    <w:rsid w:val="00777688"/>
    <w:rsid w:val="007B230F"/>
    <w:rsid w:val="007F7E43"/>
    <w:rsid w:val="00824675"/>
    <w:rsid w:val="00853B62"/>
    <w:rsid w:val="0085723D"/>
    <w:rsid w:val="008669F4"/>
    <w:rsid w:val="00867132"/>
    <w:rsid w:val="00870BD3"/>
    <w:rsid w:val="0088100D"/>
    <w:rsid w:val="008A3F09"/>
    <w:rsid w:val="008B6C81"/>
    <w:rsid w:val="008C523B"/>
    <w:rsid w:val="008D0962"/>
    <w:rsid w:val="008D0BB9"/>
    <w:rsid w:val="008E1681"/>
    <w:rsid w:val="008E1C3F"/>
    <w:rsid w:val="009174CF"/>
    <w:rsid w:val="0092509D"/>
    <w:rsid w:val="00937B5E"/>
    <w:rsid w:val="00940FA5"/>
    <w:rsid w:val="00950EDF"/>
    <w:rsid w:val="00962314"/>
    <w:rsid w:val="009660B6"/>
    <w:rsid w:val="00976A22"/>
    <w:rsid w:val="009817D1"/>
    <w:rsid w:val="00982E3E"/>
    <w:rsid w:val="009A7027"/>
    <w:rsid w:val="009B0C39"/>
    <w:rsid w:val="009B6D93"/>
    <w:rsid w:val="009E4395"/>
    <w:rsid w:val="009F0A11"/>
    <w:rsid w:val="00A060D9"/>
    <w:rsid w:val="00A06697"/>
    <w:rsid w:val="00A4670A"/>
    <w:rsid w:val="00A468A8"/>
    <w:rsid w:val="00A516F2"/>
    <w:rsid w:val="00A531EC"/>
    <w:rsid w:val="00A95D85"/>
    <w:rsid w:val="00AB6263"/>
    <w:rsid w:val="00AB68A6"/>
    <w:rsid w:val="00AC0E2B"/>
    <w:rsid w:val="00AD4374"/>
    <w:rsid w:val="00AE557A"/>
    <w:rsid w:val="00AF2FD3"/>
    <w:rsid w:val="00B41090"/>
    <w:rsid w:val="00B649C6"/>
    <w:rsid w:val="00B66D31"/>
    <w:rsid w:val="00B7545B"/>
    <w:rsid w:val="00B943A1"/>
    <w:rsid w:val="00BA051E"/>
    <w:rsid w:val="00BA7F83"/>
    <w:rsid w:val="00BB25A0"/>
    <w:rsid w:val="00BB2B65"/>
    <w:rsid w:val="00BC09E4"/>
    <w:rsid w:val="00BD4B99"/>
    <w:rsid w:val="00BE2332"/>
    <w:rsid w:val="00BF5CAA"/>
    <w:rsid w:val="00C10B62"/>
    <w:rsid w:val="00C1355A"/>
    <w:rsid w:val="00C21C06"/>
    <w:rsid w:val="00C52234"/>
    <w:rsid w:val="00C60185"/>
    <w:rsid w:val="00C61A5C"/>
    <w:rsid w:val="00C6254D"/>
    <w:rsid w:val="00C74522"/>
    <w:rsid w:val="00C7561F"/>
    <w:rsid w:val="00CB434C"/>
    <w:rsid w:val="00CC2206"/>
    <w:rsid w:val="00CC43F7"/>
    <w:rsid w:val="00CF4636"/>
    <w:rsid w:val="00CF7C51"/>
    <w:rsid w:val="00D00660"/>
    <w:rsid w:val="00D04044"/>
    <w:rsid w:val="00D10B97"/>
    <w:rsid w:val="00D259FB"/>
    <w:rsid w:val="00D47259"/>
    <w:rsid w:val="00D50096"/>
    <w:rsid w:val="00DA63F5"/>
    <w:rsid w:val="00DD4E5C"/>
    <w:rsid w:val="00DE759A"/>
    <w:rsid w:val="00DF4D7D"/>
    <w:rsid w:val="00E01823"/>
    <w:rsid w:val="00E36CDD"/>
    <w:rsid w:val="00E50D98"/>
    <w:rsid w:val="00E67559"/>
    <w:rsid w:val="00E74EDB"/>
    <w:rsid w:val="00E82C6A"/>
    <w:rsid w:val="00EB7C74"/>
    <w:rsid w:val="00F00CCB"/>
    <w:rsid w:val="00F10C56"/>
    <w:rsid w:val="00F153B8"/>
    <w:rsid w:val="00F1686F"/>
    <w:rsid w:val="00F16AE9"/>
    <w:rsid w:val="00F55113"/>
    <w:rsid w:val="00F61243"/>
    <w:rsid w:val="00F746DC"/>
    <w:rsid w:val="00F75199"/>
    <w:rsid w:val="00F75499"/>
    <w:rsid w:val="00F7675B"/>
    <w:rsid w:val="00F76B28"/>
    <w:rsid w:val="00F9653E"/>
    <w:rsid w:val="00FA75F9"/>
    <w:rsid w:val="00FB391E"/>
    <w:rsid w:val="00FC167D"/>
    <w:rsid w:val="00FC5658"/>
    <w:rsid w:val="00FE2405"/>
    <w:rsid w:val="00FF0C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5:docId w15:val="{DA5353BB-78CF-4B50-A6AD-2DD907FB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13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3FE"/>
    <w:pPr>
      <w:tabs>
        <w:tab w:val="center" w:pos="4320"/>
        <w:tab w:val="right" w:pos="8640"/>
      </w:tabs>
    </w:pPr>
  </w:style>
  <w:style w:type="character" w:styleId="Hyperlink">
    <w:name w:val="Hyperlink"/>
    <w:rsid w:val="00045654"/>
    <w:rPr>
      <w:color w:val="0000FF"/>
      <w:u w:val="single"/>
    </w:rPr>
  </w:style>
  <w:style w:type="paragraph" w:customStyle="1" w:styleId="Default">
    <w:name w:val="Default"/>
    <w:rsid w:val="001D5F2C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D5F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5F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9E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D1B6A"/>
    <w:pPr>
      <w:ind w:left="720"/>
      <w:contextualSpacing/>
    </w:pPr>
  </w:style>
  <w:style w:type="paragraph" w:styleId="BodyText2">
    <w:name w:val="Body Text 2"/>
    <w:basedOn w:val="Normal"/>
    <w:link w:val="BodyText2Char"/>
    <w:rsid w:val="00B66D31"/>
    <w:rPr>
      <w:rFonts w:ascii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B66D31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B66D31"/>
  </w:style>
  <w:style w:type="paragraph" w:styleId="FootnoteText">
    <w:name w:val="footnote text"/>
    <w:basedOn w:val="Normal"/>
    <w:link w:val="FootnoteTextChar"/>
    <w:rsid w:val="00B66D31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6D31"/>
    <w:rPr>
      <w:rFonts w:ascii="Times New Roman" w:hAnsi="Times New Roman"/>
    </w:rPr>
  </w:style>
  <w:style w:type="character" w:styleId="FootnoteReference">
    <w:name w:val="footnote reference"/>
    <w:basedOn w:val="DefaultParagraphFont"/>
    <w:rsid w:val="00B66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754C-470E-424F-8BD3-2223B385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</vt:lpstr>
    </vt:vector>
  </TitlesOfParts>
  <Company>Buyer Advertising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</dc:title>
  <dc:creator>tsharpe</dc:creator>
  <cp:lastModifiedBy>Fortier-Hollow, Sandra (EEC)</cp:lastModifiedBy>
  <cp:revision>3</cp:revision>
  <cp:lastPrinted>2018-01-11T19:01:00Z</cp:lastPrinted>
  <dcterms:created xsi:type="dcterms:W3CDTF">2018-05-03T13:11:00Z</dcterms:created>
  <dcterms:modified xsi:type="dcterms:W3CDTF">2018-05-08T14:52:00Z</dcterms:modified>
</cp:coreProperties>
</file>